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F7D1"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181FAED"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NOTIFICATION</w:t>
      </w:r>
    </w:p>
    <w:p w14:paraId="7283FC15" w14:textId="77777777" w:rsidR="00733C4F" w:rsidRDefault="00733C4F" w:rsidP="00733C4F">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4C6AB55B" w14:textId="77777777" w:rsidR="00733C4F" w:rsidRDefault="00733C4F" w:rsidP="00733C4F">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34BC2F83"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32778B0F"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2F1E8974"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418BFA2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3208DAA0"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 xml:space="preserve">(1) In these regulations, unless the context otherwise </w:t>
      </w:r>
      <w:proofErr w:type="gramStart"/>
      <w:r>
        <w:rPr>
          <w:rFonts w:ascii="Times New Roman" w:hAnsi="Times New Roman"/>
          <w:sz w:val="24"/>
          <w:szCs w:val="24"/>
        </w:rPr>
        <w:t>requires,--</w:t>
      </w:r>
      <w:proofErr w:type="gramEnd"/>
    </w:p>
    <w:p w14:paraId="18B7FCE7"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656DD60C"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41B98A0A"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05F168E5"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“Petroleum and petroleum products pipeline” means any pipeline as defined in the Petroleum and Natural Gas Regulatory Board (Authorizing Entities to Lay, Build, Operate or Expand Petroleum and Petroleum Products Pipelines) Regulations, 2010;</w:t>
      </w:r>
    </w:p>
    <w:p w14:paraId="1951C2B4"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w:t>
      </w:r>
      <w:proofErr w:type="gramStart"/>
      <w:r>
        <w:rPr>
          <w:rFonts w:ascii="Times New Roman" w:hAnsi="Times New Roman"/>
          <w:sz w:val="24"/>
          <w:szCs w:val="24"/>
        </w:rPr>
        <w:t>products</w:t>
      </w:r>
      <w:proofErr w:type="gramEnd"/>
      <w:r>
        <w:rPr>
          <w:rFonts w:ascii="Times New Roman" w:hAnsi="Times New Roman"/>
          <w:sz w:val="24"/>
          <w:szCs w:val="24"/>
        </w:rPr>
        <w:t xml:space="preserve">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carrier;</w:t>
      </w:r>
    </w:p>
    <w:p w14:paraId="70A73EFE"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5B287AAD" w14:textId="77777777" w:rsidR="00733C4F" w:rsidRDefault="00733C4F" w:rsidP="00733C4F">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AF727F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36C54F3A"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These regulations shall apply to an entity----</w:t>
      </w:r>
    </w:p>
    <w:p w14:paraId="4A7D40C2"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422A2067" w14:textId="77777777" w:rsidR="00733C4F" w:rsidRDefault="00733C4F" w:rsidP="00733C4F">
      <w:pPr>
        <w:pStyle w:val="ListParagraph"/>
        <w:ind w:left="1560"/>
        <w:jc w:val="both"/>
        <w:rPr>
          <w:rFonts w:ascii="Times New Roman" w:hAnsi="Times New Roman"/>
          <w:sz w:val="24"/>
          <w:szCs w:val="24"/>
        </w:rPr>
      </w:pPr>
    </w:p>
    <w:p w14:paraId="6529E5A9"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135C60DC" w14:textId="77777777" w:rsidR="00733C4F" w:rsidRPr="00875A1E" w:rsidRDefault="00733C4F" w:rsidP="00733C4F">
      <w:pPr>
        <w:pStyle w:val="ListParagraph"/>
        <w:rPr>
          <w:rFonts w:ascii="Times New Roman" w:hAnsi="Times New Roman"/>
          <w:sz w:val="24"/>
          <w:szCs w:val="24"/>
        </w:rPr>
      </w:pPr>
    </w:p>
    <w:p w14:paraId="59FC90F1" w14:textId="77777777" w:rsidR="00733C4F" w:rsidRPr="00875A1E" w:rsidRDefault="00733C4F" w:rsidP="00733C4F">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49515028" w14:textId="77777777" w:rsidR="00733C4F" w:rsidRDefault="00733C4F" w:rsidP="00733C4F">
      <w:pPr>
        <w:pStyle w:val="ListParagraph"/>
        <w:ind w:left="1560"/>
        <w:jc w:val="both"/>
        <w:rPr>
          <w:rFonts w:ascii="Times New Roman" w:hAnsi="Times New Roman"/>
          <w:sz w:val="24"/>
          <w:szCs w:val="24"/>
        </w:rPr>
      </w:pPr>
    </w:p>
    <w:p w14:paraId="4F7CE9DE" w14:textId="77777777" w:rsidR="00733C4F" w:rsidRPr="00947138" w:rsidRDefault="00733C4F" w:rsidP="00733C4F">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0624D39A" w14:textId="77777777" w:rsidR="00733C4F" w:rsidRDefault="00733C4F" w:rsidP="004516B6">
      <w:pPr>
        <w:pStyle w:val="ListParagraph"/>
        <w:spacing w:before="240" w:after="0"/>
        <w:ind w:left="360"/>
        <w:jc w:val="both"/>
        <w:rPr>
          <w:rFonts w:ascii="Times New Roman" w:hAnsi="Times New Roman"/>
          <w:b/>
          <w:sz w:val="24"/>
          <w:szCs w:val="24"/>
        </w:rPr>
      </w:pPr>
    </w:p>
    <w:p w14:paraId="4DD66847" w14:textId="77777777" w:rsidR="00733C4F" w:rsidRDefault="00733C4F" w:rsidP="004516B6">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356B4183" w14:textId="77777777" w:rsidR="00733C4F" w:rsidRDefault="00733C4F" w:rsidP="004516B6">
      <w:pPr>
        <w:pStyle w:val="ListParagraph"/>
        <w:ind w:left="993"/>
        <w:jc w:val="both"/>
        <w:rPr>
          <w:rFonts w:ascii="Times New Roman" w:hAnsi="Times New Roman"/>
          <w:sz w:val="24"/>
          <w:szCs w:val="24"/>
        </w:rPr>
      </w:pPr>
    </w:p>
    <w:p w14:paraId="6EBD10A2" w14:textId="77777777" w:rsidR="00733C4F" w:rsidRDefault="00733C4F" w:rsidP="004516B6">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6341315" w14:textId="77777777" w:rsidR="00733C4F" w:rsidRDefault="00733C4F" w:rsidP="004516B6">
      <w:pPr>
        <w:pStyle w:val="ListParagraph"/>
        <w:jc w:val="both"/>
        <w:rPr>
          <w:rFonts w:ascii="Times New Roman" w:hAnsi="Times New Roman"/>
          <w:sz w:val="24"/>
          <w:szCs w:val="24"/>
        </w:rPr>
      </w:pPr>
    </w:p>
    <w:p w14:paraId="0E2A2A55" w14:textId="77777777" w:rsidR="00E8764F" w:rsidRDefault="00E8764F" w:rsidP="004516B6">
      <w:pPr>
        <w:pStyle w:val="ListParagraph"/>
        <w:jc w:val="both"/>
        <w:rPr>
          <w:rFonts w:ascii="Times New Roman" w:hAnsi="Times New Roman"/>
          <w:sz w:val="24"/>
          <w:szCs w:val="24"/>
        </w:rPr>
        <w:sectPr w:rsidR="00E8764F" w:rsidSect="002051F5">
          <w:footerReference w:type="default" r:id="rId7"/>
          <w:footnotePr>
            <w:numRestart w:val="eachPage"/>
          </w:footnotePr>
          <w:pgSz w:w="12240" w:h="15840"/>
          <w:pgMar w:top="1440" w:right="1440" w:bottom="1440" w:left="1440" w:header="720" w:footer="720" w:gutter="0"/>
          <w:cols w:space="720"/>
          <w:docGrid w:linePitch="360"/>
        </w:sectPr>
      </w:pPr>
    </w:p>
    <w:p w14:paraId="76CCECC2" w14:textId="3B6AE042"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2EA3D06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5D7ED80F" w14:textId="77777777" w:rsidR="00733C4F" w:rsidRDefault="00733C4F" w:rsidP="004516B6">
      <w:pPr>
        <w:pStyle w:val="ListParagraph"/>
        <w:jc w:val="both"/>
        <w:rPr>
          <w:rFonts w:ascii="Times New Roman" w:hAnsi="Times New Roman"/>
          <w:sz w:val="24"/>
          <w:szCs w:val="24"/>
        </w:rPr>
      </w:pPr>
    </w:p>
    <w:p w14:paraId="66338CB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62AA3D71"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380406A5"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0D7FC5AE"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79CF609A" w14:textId="77777777" w:rsidR="00733C4F" w:rsidRDefault="00733C4F" w:rsidP="004516B6">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23B9DD39"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2C688F20" w14:textId="7F0EE011" w:rsidR="00733C4F" w:rsidRDefault="00733C4F" w:rsidP="004516B6">
      <w:pPr>
        <w:ind w:left="720"/>
        <w:jc w:val="both"/>
        <w:rPr>
          <w:rFonts w:ascii="Times New Roman" w:hAnsi="Times New Roman"/>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p>
    <w:p w14:paraId="78B6EB1A" w14:textId="4D509A20" w:rsidR="00733C4F" w:rsidRDefault="00733C4F" w:rsidP="004516B6">
      <w:pPr>
        <w:ind w:left="720"/>
        <w:jc w:val="both"/>
        <w:rPr>
          <w:rFonts w:ascii="Times New Roman" w:hAnsi="Times New Roman"/>
        </w:rPr>
      </w:pPr>
      <w:r>
        <w:rPr>
          <w:rStyle w:val="FootnoteReference"/>
          <w:rFonts w:ascii="Times New Roman" w:hAnsi="Times New Roman"/>
        </w:rPr>
        <w:lastRenderedPageBreak/>
        <w:footnoteReference w:id="10"/>
      </w:r>
      <w:r>
        <w:rPr>
          <w:rFonts w:ascii="Times New Roman" w:hAnsi="Times New Roman"/>
        </w:rPr>
        <w:t>[</w:t>
      </w:r>
      <w:r w:rsidRPr="001D09DD">
        <w:rPr>
          <w:rFonts w:ascii="Times New Roman" w:hAnsi="Times New Roman"/>
        </w:rPr>
        <w:t>Provided also that the transitional period may</w:t>
      </w:r>
      <w:r>
        <w:rPr>
          <w:rFonts w:ascii="Times New Roman" w:hAnsi="Times New Roman"/>
        </w:rPr>
        <w:t xml:space="preserve"> on </w:t>
      </w:r>
      <w:r w:rsidRPr="001D09DD">
        <w:rPr>
          <w:rFonts w:ascii="Times New Roman" w:hAnsi="Times New Roman"/>
        </w:rPr>
        <w:t xml:space="preserve">the completion of the extended </w:t>
      </w:r>
      <w:r w:rsidRPr="0043017A">
        <w:rPr>
          <w:rFonts w:ascii="Times New Roman" w:hAnsi="Times New Roman"/>
        </w:rPr>
        <w:t xml:space="preserve">transition period till </w:t>
      </w:r>
      <w:r>
        <w:rPr>
          <w:rFonts w:ascii="Times New Roman" w:hAnsi="Times New Roman"/>
        </w:rPr>
        <w:t>30.09</w:t>
      </w:r>
      <w:r w:rsidRPr="0043017A">
        <w:rPr>
          <w:rFonts w:ascii="Times New Roman" w:hAnsi="Times New Roman"/>
        </w:rPr>
        <w:t>.2020, be further extended up to</w:t>
      </w:r>
      <w:r>
        <w:rPr>
          <w:rFonts w:ascii="Times New Roman" w:hAnsi="Times New Roman"/>
        </w:rPr>
        <w:t>, and inclusive of,</w:t>
      </w:r>
      <w:r w:rsidRPr="0043017A">
        <w:rPr>
          <w:rFonts w:ascii="Times New Roman" w:hAnsi="Times New Roman"/>
        </w:rPr>
        <w:t xml:space="preserve"> </w:t>
      </w:r>
      <w:r>
        <w:rPr>
          <w:rFonts w:ascii="Times New Roman" w:hAnsi="Times New Roman"/>
        </w:rPr>
        <w:t>30.09</w:t>
      </w:r>
      <w:r w:rsidRPr="0043017A">
        <w:rPr>
          <w:rFonts w:ascii="Times New Roman" w:hAnsi="Times New Roman"/>
        </w:rPr>
        <w:t>.202</w:t>
      </w:r>
      <w:r>
        <w:rPr>
          <w:rFonts w:ascii="Times New Roman" w:hAnsi="Times New Roman"/>
        </w:rPr>
        <w:t>1]</w:t>
      </w:r>
    </w:p>
    <w:p w14:paraId="2835A733" w14:textId="4EFC1C68" w:rsidR="00FC2351" w:rsidRDefault="00FC2351"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1"/>
      </w:r>
      <w:r>
        <w:rPr>
          <w:rFonts w:ascii="Times New Roman" w:hAnsi="Times New Roman"/>
        </w:rPr>
        <w:t>[</w:t>
      </w:r>
      <w:r w:rsidRPr="00FC2351">
        <w:rPr>
          <w:rFonts w:ascii="Times New Roman" w:hAnsi="Times New Roman"/>
        </w:rPr>
        <w:t>Provided also that the transitional period may on the completion of the extended transition period till</w:t>
      </w:r>
      <w:r>
        <w:rPr>
          <w:rFonts w:ascii="Times New Roman" w:hAnsi="Times New Roman"/>
        </w:rPr>
        <w:t xml:space="preserve"> </w:t>
      </w:r>
      <w:r w:rsidRPr="00FC2351">
        <w:rPr>
          <w:rFonts w:ascii="Times New Roman" w:hAnsi="Times New Roman"/>
        </w:rPr>
        <w:t>30.09.2021, be further extended up t</w:t>
      </w:r>
      <w:r>
        <w:rPr>
          <w:rFonts w:ascii="Times New Roman" w:hAnsi="Times New Roman"/>
        </w:rPr>
        <w:t>o, and inclusive of, 30.09.2023]</w:t>
      </w:r>
    </w:p>
    <w:p w14:paraId="38DAB0AD" w14:textId="61F4855B" w:rsidR="002B425F" w:rsidRDefault="002B425F" w:rsidP="004516B6">
      <w:pPr>
        <w:autoSpaceDE w:val="0"/>
        <w:autoSpaceDN w:val="0"/>
        <w:adjustRightInd w:val="0"/>
        <w:spacing w:after="0" w:line="240" w:lineRule="auto"/>
        <w:ind w:left="709"/>
        <w:jc w:val="both"/>
        <w:rPr>
          <w:rFonts w:ascii="Times New Roman" w:hAnsi="Times New Roman"/>
        </w:rPr>
      </w:pPr>
    </w:p>
    <w:p w14:paraId="7CACEDAA" w14:textId="26EBFE1F" w:rsidR="002B425F" w:rsidRDefault="002B425F"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2"/>
      </w:r>
      <w:r>
        <w:rPr>
          <w:rFonts w:ascii="Times New Roman" w:hAnsi="Times New Roman"/>
        </w:rPr>
        <w:t>[</w:t>
      </w:r>
      <w:r w:rsidRPr="002B425F">
        <w:rPr>
          <w:rFonts w:ascii="Times New Roman" w:hAnsi="Times New Roman"/>
        </w:rPr>
        <w:t>Provided also that the transitional period may on the completion of the extended transition period till</w:t>
      </w:r>
      <w:r>
        <w:rPr>
          <w:rFonts w:ascii="Times New Roman" w:hAnsi="Times New Roman"/>
        </w:rPr>
        <w:t xml:space="preserve"> </w:t>
      </w:r>
      <w:r w:rsidRPr="002B425F">
        <w:rPr>
          <w:rFonts w:ascii="Times New Roman" w:hAnsi="Times New Roman"/>
        </w:rPr>
        <w:t>30.09.2023, be further extended up to, and inclusive of, 31.12.2023</w:t>
      </w:r>
      <w:r>
        <w:rPr>
          <w:rFonts w:ascii="Times New Roman" w:hAnsi="Times New Roman"/>
        </w:rPr>
        <w:t>]</w:t>
      </w:r>
    </w:p>
    <w:p w14:paraId="4680C374" w14:textId="39B748F5" w:rsidR="00F85A6C" w:rsidRDefault="00F85A6C" w:rsidP="004516B6">
      <w:pPr>
        <w:autoSpaceDE w:val="0"/>
        <w:autoSpaceDN w:val="0"/>
        <w:adjustRightInd w:val="0"/>
        <w:spacing w:after="0" w:line="240" w:lineRule="auto"/>
        <w:ind w:left="709"/>
        <w:jc w:val="both"/>
        <w:rPr>
          <w:rFonts w:ascii="Times New Roman" w:hAnsi="Times New Roman"/>
        </w:rPr>
      </w:pPr>
    </w:p>
    <w:p w14:paraId="4776A044" w14:textId="5BD796B0" w:rsidR="00F85A6C" w:rsidRDefault="00F85A6C" w:rsidP="00F85A6C">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3"/>
      </w:r>
      <w:r>
        <w:rPr>
          <w:rFonts w:ascii="Times New Roman" w:hAnsi="Times New Roman"/>
        </w:rPr>
        <w:t>[</w:t>
      </w:r>
      <w:r w:rsidRPr="00F85A6C">
        <w:rPr>
          <w:rFonts w:ascii="Times New Roman" w:hAnsi="Times New Roman"/>
        </w:rPr>
        <w:t>Provided also that the transitional period may on the completion of the extended transition period till</w:t>
      </w:r>
      <w:r>
        <w:rPr>
          <w:rFonts w:ascii="Times New Roman" w:hAnsi="Times New Roman"/>
        </w:rPr>
        <w:t xml:space="preserve"> </w:t>
      </w:r>
      <w:r w:rsidRPr="00F85A6C">
        <w:rPr>
          <w:rFonts w:ascii="Times New Roman" w:hAnsi="Times New Roman"/>
        </w:rPr>
        <w:t>31.12.2023, be further extended up to</w:t>
      </w:r>
      <w:r>
        <w:rPr>
          <w:rFonts w:ascii="Times New Roman" w:hAnsi="Times New Roman"/>
        </w:rPr>
        <w:t>, and inclusive of, 31.03.2024]</w:t>
      </w:r>
    </w:p>
    <w:p w14:paraId="6D7D20B6" w14:textId="77777777" w:rsidR="00C1255A" w:rsidRPr="00FC2351" w:rsidRDefault="00C1255A" w:rsidP="00FC2351">
      <w:pPr>
        <w:autoSpaceDE w:val="0"/>
        <w:autoSpaceDN w:val="0"/>
        <w:adjustRightInd w:val="0"/>
        <w:spacing w:after="0" w:line="240" w:lineRule="auto"/>
        <w:ind w:left="709"/>
        <w:rPr>
          <w:rFonts w:ascii="Times New Roman" w:hAnsi="Times New Roman"/>
        </w:rPr>
      </w:pPr>
    </w:p>
    <w:p w14:paraId="42479A0A"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FED3C30" w14:textId="77777777" w:rsidR="00733C4F" w:rsidRDefault="00733C4F" w:rsidP="00733C4F">
      <w:pPr>
        <w:ind w:left="709"/>
        <w:jc w:val="both"/>
        <w:rPr>
          <w:rFonts w:ascii="Times New Roman" w:hAnsi="Times New Roman"/>
          <w:sz w:val="24"/>
          <w:szCs w:val="24"/>
        </w:rPr>
      </w:pPr>
      <w:r>
        <w:rPr>
          <w:rFonts w:ascii="Times New Roman" w:hAnsi="Times New Roman"/>
          <w:sz w:val="24"/>
          <w:szCs w:val="24"/>
        </w:rPr>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p>
    <w:p w14:paraId="5B2ACD03"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1407C22F"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g 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 xml:space="preserve">e </w:t>
      </w:r>
      <w:r>
        <w:rPr>
          <w:rFonts w:ascii="Times New Roman" w:hAnsi="Times New Roman"/>
          <w:sz w:val="24"/>
          <w:szCs w:val="24"/>
        </w:rPr>
        <w:lastRenderedPageBreak/>
        <w:t>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08B1539A"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w:t>
      </w:r>
      <w:r w:rsidRPr="00CB0201">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5E0FC36"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7"/>
      </w:r>
      <w:r>
        <w:rPr>
          <w:rFonts w:ascii="Times New Roman" w:hAnsi="Times New Roman"/>
          <w:sz w:val="24"/>
          <w:szCs w:val="24"/>
        </w:rPr>
        <w:t>[</w:t>
      </w:r>
      <w:r w:rsidRPr="0073414C">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73385F1C"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8"/>
      </w:r>
      <w:r>
        <w:rPr>
          <w:rFonts w:ascii="Times New Roman" w:hAnsi="Times New Roman"/>
          <w:sz w:val="24"/>
          <w:szCs w:val="24"/>
        </w:rPr>
        <w:t>[</w:t>
      </w:r>
      <w:r w:rsidRPr="00731F05">
        <w:rPr>
          <w:rFonts w:ascii="Times New Roman" w:hAnsi="Times New Roman"/>
          <w:sz w:val="24"/>
          <w:szCs w:val="24"/>
        </w:rPr>
        <w:t>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4A5978D"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19"/>
      </w:r>
      <w:r>
        <w:rPr>
          <w:rFonts w:ascii="Times New Roman" w:hAnsi="Times New Roman"/>
          <w:sz w:val="24"/>
          <w:szCs w:val="24"/>
        </w:rPr>
        <w:t>[</w:t>
      </w:r>
      <w:r w:rsidRPr="004E16E3">
        <w:rPr>
          <w:rFonts w:ascii="Times New Roman" w:hAnsi="Times New Roman"/>
          <w:sz w:val="24"/>
          <w:szCs w:val="24"/>
        </w:rPr>
        <w:t xml:space="preserve">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w:t>
      </w:r>
      <w:r w:rsidRPr="004E16E3">
        <w:rPr>
          <w:rFonts w:ascii="Times New Roman" w:hAnsi="Times New Roman"/>
          <w:sz w:val="24"/>
          <w:szCs w:val="24"/>
        </w:rPr>
        <w:lastRenderedPageBreak/>
        <w:t>Pipeline Transportation Tariff) Amendment Regulations, 2019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6FB3E917"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0"/>
      </w:r>
      <w:r w:rsidRPr="00F67CA6">
        <w:rPr>
          <w:rFonts w:ascii="Times New Roman" w:hAnsi="Times New Roman"/>
          <w:sz w:val="24"/>
          <w:szCs w:val="24"/>
        </w:rPr>
        <w:t>[</w:t>
      </w:r>
      <w:bookmarkStart w:id="0" w:name="_Hlk27039298"/>
      <w:r w:rsidRPr="00F67CA6">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0"/>
      <w:r w:rsidRPr="00F67CA6">
        <w:rPr>
          <w:rFonts w:ascii="Times New Roman" w:hAnsi="Times New Roman"/>
          <w:sz w:val="24"/>
          <w:szCs w:val="24"/>
        </w:rPr>
        <w:t>]</w:t>
      </w:r>
    </w:p>
    <w:p w14:paraId="640214A2"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1"/>
      </w:r>
      <w:r w:rsidRPr="007E4840">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3EDE7FAA" w14:textId="308CC002"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2"/>
      </w:r>
      <w:r w:rsidRPr="00B51242">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2AED436" w14:textId="29E32178" w:rsidR="0095663A" w:rsidRDefault="0095663A"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3"/>
      </w:r>
      <w:r>
        <w:rPr>
          <w:rFonts w:ascii="Times New Roman" w:hAnsi="Times New Roman"/>
          <w:sz w:val="24"/>
          <w:szCs w:val="24"/>
        </w:rPr>
        <w:t>[</w:t>
      </w:r>
      <w:r w:rsidRPr="0095663A">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w:t>
      </w:r>
      <w:r w:rsidRPr="0095663A">
        <w:rPr>
          <w:rFonts w:ascii="Times New Roman" w:hAnsi="Times New Roman"/>
          <w:sz w:val="24"/>
          <w:szCs w:val="24"/>
        </w:rPr>
        <w:lastRenderedPageBreak/>
        <w:t>table of the railways as applicable on the date of the coming into force of the Petroleum and Natural Gas Regulatory Board (Determination of Petroleum and Petroleum Products Pipeline Transportation Tariff) Fourth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987B24B" w14:textId="2C40F57E" w:rsidR="00F501F0" w:rsidRDefault="00F501F0" w:rsidP="004516B6">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Style w:val="FootnoteReference"/>
          <w:rFonts w:ascii="Times New Roman" w:hAnsi="Times New Roman"/>
          <w:sz w:val="24"/>
          <w:szCs w:val="24"/>
        </w:rPr>
        <w:footnoteReference w:id="24"/>
      </w:r>
      <w:r>
        <w:rPr>
          <w:rFonts w:ascii="Times New Roman" w:hAnsi="Times New Roman"/>
          <w:sz w:val="24"/>
          <w:szCs w:val="24"/>
        </w:rPr>
        <w:t>[</w:t>
      </w:r>
      <w:r w:rsidRPr="00F501F0">
        <w:rPr>
          <w:rFonts w:ascii="Times New Roman" w:hAnsi="Times New Roman"/>
          <w:sz w:val="24"/>
          <w:szCs w:val="24"/>
        </w:rPr>
        <w:t>Provided also that the determination of the petroleum and petroleum products pipeline transportation tariff</w:t>
      </w:r>
      <w:r>
        <w:rPr>
          <w:rFonts w:ascii="Times New Roman" w:hAnsi="Times New Roman"/>
          <w:sz w:val="24"/>
          <w:szCs w:val="24"/>
        </w:rPr>
        <w:t xml:space="preserve"> </w:t>
      </w:r>
      <w:r w:rsidRPr="00F501F0">
        <w:rPr>
          <w:rFonts w:ascii="Times New Roman" w:hAnsi="Times New Roman"/>
          <w:sz w:val="24"/>
          <w:szCs w:val="24"/>
        </w:rPr>
        <w:t>under this regulation shall be benchmarked against the goods tariff table of</w:t>
      </w:r>
      <w:r>
        <w:rPr>
          <w:rFonts w:ascii="Times New Roman" w:hAnsi="Times New Roman"/>
          <w:sz w:val="24"/>
          <w:szCs w:val="24"/>
        </w:rPr>
        <w:t xml:space="preserve"> </w:t>
      </w:r>
      <w:r w:rsidRPr="00F501F0">
        <w:rPr>
          <w:rFonts w:ascii="Times New Roman" w:hAnsi="Times New Roman"/>
          <w:sz w:val="24"/>
          <w:szCs w:val="24"/>
        </w:rPr>
        <w:t>the railways as applicable on the</w:t>
      </w:r>
      <w:r>
        <w:rPr>
          <w:rFonts w:ascii="Times New Roman" w:hAnsi="Times New Roman"/>
          <w:sz w:val="24"/>
          <w:szCs w:val="24"/>
        </w:rPr>
        <w:t xml:space="preserve"> </w:t>
      </w:r>
      <w:r w:rsidRPr="00F501F0">
        <w:rPr>
          <w:rFonts w:ascii="Times New Roman" w:hAnsi="Times New Roman"/>
          <w:sz w:val="24"/>
          <w:szCs w:val="24"/>
        </w:rPr>
        <w:t>date of the coming into force of the Petroleum and Natural Gas Regulatory Board (De</w:t>
      </w:r>
      <w:r>
        <w:rPr>
          <w:rFonts w:ascii="Times New Roman" w:hAnsi="Times New Roman"/>
          <w:sz w:val="24"/>
          <w:szCs w:val="24"/>
        </w:rPr>
        <w:t xml:space="preserve">termination of </w:t>
      </w:r>
      <w:r w:rsidRPr="00F501F0">
        <w:rPr>
          <w:rFonts w:ascii="Times New Roman" w:hAnsi="Times New Roman"/>
          <w:sz w:val="24"/>
          <w:szCs w:val="24"/>
        </w:rPr>
        <w:t>Petroleum and Petroleum Products Pipeline Transportation Tariff) Amendme</w:t>
      </w:r>
      <w:r>
        <w:rPr>
          <w:rFonts w:ascii="Times New Roman" w:hAnsi="Times New Roman"/>
          <w:sz w:val="24"/>
          <w:szCs w:val="24"/>
        </w:rPr>
        <w:t xml:space="preserve">nt Regulations, 2021 and if the </w:t>
      </w:r>
      <w:r w:rsidRPr="00F501F0">
        <w:rPr>
          <w:rFonts w:ascii="Times New Roman" w:hAnsi="Times New Roman"/>
          <w:sz w:val="24"/>
          <w:szCs w:val="24"/>
        </w:rPr>
        <w:t>goods tariff table of the railways is revised during the further extended peri</w:t>
      </w:r>
      <w:r>
        <w:rPr>
          <w:rFonts w:ascii="Times New Roman" w:hAnsi="Times New Roman"/>
          <w:sz w:val="24"/>
          <w:szCs w:val="24"/>
        </w:rPr>
        <w:t xml:space="preserve">od of transition, the Board may </w:t>
      </w:r>
      <w:r w:rsidRPr="00F501F0">
        <w:rPr>
          <w:rFonts w:ascii="Times New Roman" w:hAnsi="Times New Roman"/>
          <w:sz w:val="24"/>
          <w:szCs w:val="24"/>
        </w:rPr>
        <w:t>consider the benchmarking of the petroleum and petroleum products tra</w:t>
      </w:r>
      <w:r>
        <w:rPr>
          <w:rFonts w:ascii="Times New Roman" w:hAnsi="Times New Roman"/>
          <w:sz w:val="24"/>
          <w:szCs w:val="24"/>
        </w:rPr>
        <w:t>nsportation tariff against such revision.]</w:t>
      </w:r>
    </w:p>
    <w:p w14:paraId="5316BCC3" w14:textId="0E8A7A87" w:rsidR="00BA0C61" w:rsidRDefault="00BA0C61" w:rsidP="004516B6">
      <w:pPr>
        <w:autoSpaceDE w:val="0"/>
        <w:autoSpaceDN w:val="0"/>
        <w:adjustRightInd w:val="0"/>
        <w:spacing w:after="0" w:line="240" w:lineRule="auto"/>
        <w:ind w:left="709" w:hanging="709"/>
        <w:jc w:val="both"/>
        <w:rPr>
          <w:rFonts w:ascii="Times New Roman" w:hAnsi="Times New Roman"/>
          <w:sz w:val="24"/>
          <w:szCs w:val="24"/>
        </w:rPr>
      </w:pPr>
    </w:p>
    <w:p w14:paraId="718B4A42" w14:textId="0D4ADCA4" w:rsidR="00BA0C61" w:rsidRDefault="00BA0C61" w:rsidP="004516B6">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5"/>
      </w:r>
      <w:r>
        <w:rPr>
          <w:rFonts w:ascii="Times New Roman" w:hAnsi="Times New Roman"/>
          <w:sz w:val="24"/>
          <w:szCs w:val="24"/>
        </w:rPr>
        <w:t>[</w:t>
      </w:r>
      <w:r w:rsidR="005C086C" w:rsidRPr="00A2069A">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table of the railways as applicable on the date of the coming </w:t>
      </w:r>
      <w:r w:rsidR="00A2069A" w:rsidRPr="00A2069A">
        <w:rPr>
          <w:rFonts w:ascii="Times New Roman" w:hAnsi="Times New Roman"/>
          <w:sz w:val="24"/>
          <w:szCs w:val="24"/>
        </w:rPr>
        <w:t>into force of the Petroleum and Natural Gas Regulatory Board (Determination of Petroleum and Petroleum Products Pipeline Transportation Tariff) Amendment Regulations, 2023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BFF4005" w14:textId="0E6D9244" w:rsidR="00701130" w:rsidRDefault="00701130" w:rsidP="004516B6">
      <w:pPr>
        <w:autoSpaceDE w:val="0"/>
        <w:autoSpaceDN w:val="0"/>
        <w:adjustRightInd w:val="0"/>
        <w:spacing w:after="0" w:line="240" w:lineRule="auto"/>
        <w:ind w:left="709"/>
        <w:jc w:val="both"/>
        <w:rPr>
          <w:rFonts w:ascii="Times New Roman" w:hAnsi="Times New Roman"/>
          <w:sz w:val="24"/>
          <w:szCs w:val="24"/>
        </w:rPr>
      </w:pPr>
    </w:p>
    <w:p w14:paraId="1C90EC75" w14:textId="6AE25643" w:rsidR="00701130" w:rsidRDefault="00701130" w:rsidP="00701130">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6"/>
      </w:r>
      <w:r>
        <w:rPr>
          <w:rFonts w:ascii="Times New Roman" w:hAnsi="Times New Roman"/>
          <w:sz w:val="24"/>
          <w:szCs w:val="24"/>
        </w:rPr>
        <w:t>[</w:t>
      </w:r>
      <w:r w:rsidRPr="00701130">
        <w:rPr>
          <w:rFonts w:ascii="Times New Roman" w:hAnsi="Times New Roman"/>
          <w:sz w:val="24"/>
          <w:szCs w:val="24"/>
        </w:rPr>
        <w:t xml:space="preserve">Provided also that the determination of the petroleum </w:t>
      </w:r>
      <w:r>
        <w:rPr>
          <w:rFonts w:ascii="Times New Roman" w:hAnsi="Times New Roman"/>
          <w:sz w:val="24"/>
          <w:szCs w:val="24"/>
        </w:rPr>
        <w:t xml:space="preserve">and petroleum products pipeline </w:t>
      </w:r>
      <w:r w:rsidRPr="00701130">
        <w:rPr>
          <w:rFonts w:ascii="Times New Roman" w:hAnsi="Times New Roman"/>
          <w:sz w:val="24"/>
          <w:szCs w:val="24"/>
        </w:rPr>
        <w:t>transportation</w:t>
      </w:r>
      <w:r>
        <w:rPr>
          <w:rFonts w:ascii="Times New Roman" w:hAnsi="Times New Roman"/>
          <w:sz w:val="24"/>
          <w:szCs w:val="24"/>
        </w:rPr>
        <w:t xml:space="preserve"> </w:t>
      </w:r>
      <w:r w:rsidRPr="00701130">
        <w:rPr>
          <w:rFonts w:ascii="Times New Roman" w:hAnsi="Times New Roman"/>
          <w:sz w:val="24"/>
          <w:szCs w:val="24"/>
        </w:rPr>
        <w:t>tariff under this regulation shall be benchmarked against the goods tariff table of the railways as</w:t>
      </w:r>
      <w:r>
        <w:rPr>
          <w:rFonts w:ascii="Times New Roman" w:hAnsi="Times New Roman"/>
          <w:sz w:val="24"/>
          <w:szCs w:val="24"/>
        </w:rPr>
        <w:t xml:space="preserve"> </w:t>
      </w:r>
      <w:r w:rsidRPr="00701130">
        <w:rPr>
          <w:rFonts w:ascii="Times New Roman" w:hAnsi="Times New Roman"/>
          <w:sz w:val="24"/>
          <w:szCs w:val="24"/>
        </w:rPr>
        <w:t>applicable on the date of the coming into force of the Petroleum and Natural Gas Regulatory Board</w:t>
      </w:r>
      <w:r>
        <w:rPr>
          <w:rFonts w:ascii="Times New Roman" w:hAnsi="Times New Roman"/>
          <w:sz w:val="24"/>
          <w:szCs w:val="24"/>
        </w:rPr>
        <w:t xml:space="preserve"> </w:t>
      </w:r>
      <w:r w:rsidRPr="00701130">
        <w:rPr>
          <w:rFonts w:ascii="Times New Roman" w:hAnsi="Times New Roman"/>
          <w:sz w:val="24"/>
          <w:szCs w:val="24"/>
        </w:rPr>
        <w:t>(Determination of Petroleum and Petroleum Products Pipeline Transportation Tariff) Second Amendment</w:t>
      </w:r>
      <w:r>
        <w:rPr>
          <w:rFonts w:ascii="Times New Roman" w:hAnsi="Times New Roman"/>
          <w:sz w:val="24"/>
          <w:szCs w:val="24"/>
        </w:rPr>
        <w:t xml:space="preserve"> </w:t>
      </w:r>
      <w:r w:rsidRPr="00701130">
        <w:rPr>
          <w:rFonts w:ascii="Times New Roman" w:hAnsi="Times New Roman"/>
          <w:sz w:val="24"/>
          <w:szCs w:val="24"/>
        </w:rPr>
        <w:t>Regulations, 2023 and if the goods tariff table of the railways is revised during the further extended</w:t>
      </w:r>
      <w:r>
        <w:rPr>
          <w:rFonts w:ascii="Times New Roman" w:hAnsi="Times New Roman"/>
          <w:sz w:val="24"/>
          <w:szCs w:val="24"/>
        </w:rPr>
        <w:t xml:space="preserve"> </w:t>
      </w:r>
      <w:r w:rsidRPr="00701130">
        <w:rPr>
          <w:rFonts w:ascii="Times New Roman" w:hAnsi="Times New Roman"/>
          <w:sz w:val="24"/>
          <w:szCs w:val="24"/>
        </w:rPr>
        <w:t>period of transition, the Board may c</w:t>
      </w:r>
      <w:r>
        <w:rPr>
          <w:rFonts w:ascii="Times New Roman" w:hAnsi="Times New Roman"/>
          <w:sz w:val="24"/>
          <w:szCs w:val="24"/>
        </w:rPr>
        <w:t xml:space="preserve">onsider the benchmarking of the </w:t>
      </w:r>
      <w:r w:rsidRPr="00701130">
        <w:rPr>
          <w:rFonts w:ascii="Times New Roman" w:hAnsi="Times New Roman"/>
          <w:sz w:val="24"/>
          <w:szCs w:val="24"/>
        </w:rPr>
        <w:t>p</w:t>
      </w:r>
      <w:r>
        <w:rPr>
          <w:rFonts w:ascii="Times New Roman" w:hAnsi="Times New Roman"/>
          <w:sz w:val="24"/>
          <w:szCs w:val="24"/>
        </w:rPr>
        <w:t xml:space="preserve">etroleum and petroleum products </w:t>
      </w:r>
      <w:r w:rsidRPr="00701130">
        <w:rPr>
          <w:rFonts w:ascii="Times New Roman" w:hAnsi="Times New Roman"/>
          <w:sz w:val="24"/>
          <w:szCs w:val="24"/>
        </w:rPr>
        <w:t>transportatio</w:t>
      </w:r>
      <w:r>
        <w:rPr>
          <w:rFonts w:ascii="Times New Roman" w:hAnsi="Times New Roman"/>
          <w:sz w:val="24"/>
          <w:szCs w:val="24"/>
        </w:rPr>
        <w:t>n tariff against such revision.]</w:t>
      </w:r>
    </w:p>
    <w:p w14:paraId="5954B09B" w14:textId="77777777" w:rsidR="0095663A" w:rsidRPr="007E4840" w:rsidRDefault="0095663A" w:rsidP="00733C4F">
      <w:pPr>
        <w:ind w:left="720"/>
        <w:jc w:val="both"/>
        <w:rPr>
          <w:rFonts w:ascii="Times New Roman" w:hAnsi="Times New Roman"/>
          <w:sz w:val="24"/>
          <w:szCs w:val="24"/>
        </w:rPr>
      </w:pPr>
    </w:p>
    <w:p w14:paraId="78D47D6A" w14:textId="77777777" w:rsidR="00733C4F" w:rsidRDefault="00733C4F" w:rsidP="00F501F0">
      <w:pPr>
        <w:jc w:val="both"/>
        <w:rPr>
          <w:rFonts w:ascii="Times New Roman" w:hAnsi="Times New Roman"/>
          <w:b/>
          <w:sz w:val="24"/>
          <w:szCs w:val="24"/>
        </w:rPr>
      </w:pPr>
      <w:r>
        <w:rPr>
          <w:rStyle w:val="FootnoteReference"/>
          <w:rFonts w:ascii="Times New Roman" w:hAnsi="Times New Roman"/>
          <w:bCs/>
          <w:sz w:val="24"/>
          <w:szCs w:val="24"/>
        </w:rPr>
        <w:footnoteReference w:id="27"/>
      </w:r>
      <w:r>
        <w:rPr>
          <w:rFonts w:ascii="Times New Roman" w:hAnsi="Times New Roman"/>
          <w:bCs/>
          <w:sz w:val="24"/>
          <w:szCs w:val="24"/>
        </w:rPr>
        <w:t>[</w:t>
      </w:r>
      <w:r>
        <w:rPr>
          <w:rFonts w:ascii="Times New Roman" w:hAnsi="Times New Roman"/>
          <w:b/>
          <w:sz w:val="24"/>
          <w:szCs w:val="24"/>
        </w:rPr>
        <w:t>6. Miscellaneous</w:t>
      </w:r>
    </w:p>
    <w:p w14:paraId="0ADC317D" w14:textId="77777777" w:rsidR="00733C4F" w:rsidRDefault="00733C4F" w:rsidP="00733C4F">
      <w:pPr>
        <w:ind w:left="567"/>
        <w:jc w:val="both"/>
        <w:rPr>
          <w:rFonts w:ascii="Times New Roman" w:hAnsi="Times New Roman"/>
          <w:sz w:val="24"/>
          <w:szCs w:val="24"/>
        </w:rPr>
      </w:pPr>
      <w:r>
        <w:rPr>
          <w:rFonts w:ascii="Times New Roman" w:hAnsi="Times New Roman"/>
          <w:sz w:val="24"/>
          <w:szCs w:val="24"/>
        </w:rPr>
        <w:lastRenderedPageBreak/>
        <w:t>If any question arises as to the interpretation of these regulations, the same shall be decided by the Board.]</w:t>
      </w:r>
    </w:p>
    <w:p w14:paraId="3C634421" w14:textId="77777777" w:rsidR="00733C4F" w:rsidRDefault="00733C4F" w:rsidP="00733C4F">
      <w:pPr>
        <w:widowControl w:val="0"/>
        <w:autoSpaceDE w:val="0"/>
        <w:autoSpaceDN w:val="0"/>
        <w:adjustRightInd w:val="0"/>
        <w:spacing w:after="0" w:line="225" w:lineRule="exact"/>
        <w:ind w:left="1701" w:right="123" w:hanging="1134"/>
        <w:jc w:val="both"/>
        <w:rPr>
          <w:rFonts w:ascii="Times New Roman" w:hAnsi="Times New Roman"/>
          <w:b/>
          <w:bCs/>
          <w:sz w:val="24"/>
          <w:szCs w:val="24"/>
        </w:rPr>
      </w:pPr>
    </w:p>
    <w:p w14:paraId="0DBE8302" w14:textId="5919E060" w:rsidR="003B49DD" w:rsidRPr="00521B37" w:rsidRDefault="00733C4F" w:rsidP="00733C4F">
      <w:pPr>
        <w:pStyle w:val="Default"/>
        <w:spacing w:after="200"/>
        <w:ind w:left="1560" w:hanging="1134"/>
        <w:jc w:val="both"/>
        <w:rPr>
          <w:rFonts w:ascii="Times New Roman" w:hAnsi="Times New Roman"/>
        </w:rPr>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 and </w:t>
      </w:r>
      <w:r w:rsidRPr="00DD7958">
        <w:rPr>
          <w:rFonts w:ascii="Times New Roman" w:hAnsi="Times New Roman" w:cs="Times New Roman"/>
        </w:rPr>
        <w:t>F. No. PNGRB/M(C)/62/2020</w:t>
      </w:r>
      <w:r>
        <w:rPr>
          <w:rFonts w:ascii="Times New Roman" w:hAnsi="Times New Roman" w:cs="Times New Roman"/>
        </w:rPr>
        <w:t>, dated 30</w:t>
      </w:r>
      <w:r w:rsidRPr="00DD7958">
        <w:rPr>
          <w:rFonts w:ascii="Times New Roman" w:hAnsi="Times New Roman" w:cs="Times New Roman"/>
          <w:vertAlign w:val="superscript"/>
        </w:rPr>
        <w:t>th</w:t>
      </w:r>
      <w:r>
        <w:rPr>
          <w:rFonts w:ascii="Times New Roman" w:hAnsi="Times New Roman" w:cs="Times New Roman"/>
        </w:rPr>
        <w:t xml:space="preserve"> June, 2020</w:t>
      </w:r>
      <w:r w:rsidR="0095663A">
        <w:rPr>
          <w:rFonts w:ascii="Times New Roman" w:hAnsi="Times New Roman" w:cs="Times New Roman"/>
        </w:rPr>
        <w:t xml:space="preserve">, </w:t>
      </w:r>
      <w:r w:rsidR="0095663A" w:rsidRPr="0095663A">
        <w:rPr>
          <w:rFonts w:ascii="Times New Roman" w:hAnsi="Times New Roman" w:cs="Times New Roman"/>
        </w:rPr>
        <w:t>F. No. PNGRB/COM/3-PPPL Tariff (1)/2012 Vol-IV (P-1018)</w:t>
      </w:r>
      <w:r w:rsidR="0095663A">
        <w:rPr>
          <w:rFonts w:ascii="Times New Roman" w:hAnsi="Times New Roman" w:cs="Times New Roman"/>
        </w:rPr>
        <w:t>, dated 28</w:t>
      </w:r>
      <w:r w:rsidR="0095663A" w:rsidRPr="0095663A">
        <w:rPr>
          <w:rFonts w:ascii="Times New Roman" w:hAnsi="Times New Roman" w:cs="Times New Roman"/>
          <w:vertAlign w:val="superscript"/>
        </w:rPr>
        <w:t>th</w:t>
      </w:r>
      <w:r w:rsidR="0095663A">
        <w:rPr>
          <w:rFonts w:ascii="Times New Roman" w:hAnsi="Times New Roman" w:cs="Times New Roman"/>
        </w:rPr>
        <w:t xml:space="preserve"> </w:t>
      </w:r>
      <w:r w:rsidR="0095663A" w:rsidRPr="00521B37">
        <w:rPr>
          <w:rFonts w:ascii="Times New Roman" w:hAnsi="Times New Roman"/>
        </w:rPr>
        <w:t>September, 2020</w:t>
      </w:r>
      <w:r w:rsidR="00906541">
        <w:rPr>
          <w:rFonts w:ascii="Times New Roman" w:hAnsi="Times New Roman"/>
        </w:rPr>
        <w:t>,</w:t>
      </w:r>
      <w:r w:rsidR="00521B37" w:rsidRPr="00521B37">
        <w:rPr>
          <w:rFonts w:ascii="Times New Roman" w:hAnsi="Times New Roman"/>
        </w:rPr>
        <w:t xml:space="preserve"> PNG RB/COM/3-PPPL Tariff (1)/2012 Vol.-IV (P-1018), dated 14</w:t>
      </w:r>
      <w:r w:rsidR="00521B37" w:rsidRPr="00C85F06">
        <w:rPr>
          <w:rFonts w:ascii="Times New Roman" w:hAnsi="Times New Roman"/>
          <w:vertAlign w:val="superscript"/>
        </w:rPr>
        <w:t>th</w:t>
      </w:r>
      <w:r w:rsidR="003B49DD">
        <w:rPr>
          <w:rFonts w:ascii="Times New Roman" w:hAnsi="Times New Roman"/>
        </w:rPr>
        <w:t xml:space="preserve"> December, 2021, </w:t>
      </w:r>
      <w:r w:rsidR="00906541" w:rsidRPr="00906541">
        <w:rPr>
          <w:rFonts w:ascii="Times New Roman" w:hAnsi="Times New Roman"/>
        </w:rPr>
        <w:t xml:space="preserve">F. No. PNGRB/COM/3-PPPL </w:t>
      </w:r>
      <w:r w:rsidR="00906541">
        <w:rPr>
          <w:rFonts w:ascii="Times New Roman" w:hAnsi="Times New Roman"/>
        </w:rPr>
        <w:t>Tariff (1)/2012 Vol-V (P-4397), dated 20</w:t>
      </w:r>
      <w:r w:rsidR="00906541" w:rsidRPr="00906541">
        <w:rPr>
          <w:rFonts w:ascii="Times New Roman" w:hAnsi="Times New Roman"/>
          <w:vertAlign w:val="superscript"/>
        </w:rPr>
        <w:t>th</w:t>
      </w:r>
      <w:r w:rsidR="003B49DD">
        <w:rPr>
          <w:rFonts w:ascii="Times New Roman" w:hAnsi="Times New Roman"/>
        </w:rPr>
        <w:t xml:space="preserve"> September, 2023 and </w:t>
      </w:r>
      <w:r w:rsidR="003B49DD" w:rsidRPr="003B49DD">
        <w:rPr>
          <w:rFonts w:ascii="Times New Roman" w:hAnsi="Times New Roman"/>
        </w:rPr>
        <w:t>F. No. PNGRB/COM/3-PPPL Tariff (1)/2012 Vol-VI (E-4698</w:t>
      </w:r>
      <w:r w:rsidR="003B49DD">
        <w:rPr>
          <w:rFonts w:ascii="Times New Roman" w:hAnsi="Times New Roman"/>
        </w:rPr>
        <w:t>), dated 18</w:t>
      </w:r>
      <w:r w:rsidR="003B49DD" w:rsidRPr="003B49DD">
        <w:rPr>
          <w:rFonts w:ascii="Times New Roman" w:hAnsi="Times New Roman"/>
          <w:vertAlign w:val="superscript"/>
        </w:rPr>
        <w:t>th</w:t>
      </w:r>
      <w:r w:rsidR="003B49DD">
        <w:rPr>
          <w:rFonts w:ascii="Times New Roman" w:hAnsi="Times New Roman"/>
        </w:rPr>
        <w:t xml:space="preserve"> December, 2023.</w:t>
      </w:r>
      <w:bookmarkStart w:id="1" w:name="_GoBack"/>
      <w:bookmarkEnd w:id="1"/>
    </w:p>
    <w:p w14:paraId="0293A915" w14:textId="77777777" w:rsidR="00733C4F" w:rsidRDefault="00733C4F" w:rsidP="00733C4F"/>
    <w:p w14:paraId="75CA3556" w14:textId="77777777" w:rsidR="00733C4F" w:rsidRDefault="00733C4F" w:rsidP="00733C4F"/>
    <w:p w14:paraId="696D129D" w14:textId="77777777" w:rsidR="00733C4F" w:rsidRDefault="00733C4F" w:rsidP="00733C4F"/>
    <w:p w14:paraId="186FF0DF" w14:textId="77777777" w:rsidR="00733C4F" w:rsidRDefault="00733C4F" w:rsidP="00733C4F"/>
    <w:p w14:paraId="19785AB4" w14:textId="77777777" w:rsidR="00733C4F" w:rsidRDefault="00733C4F" w:rsidP="00733C4F"/>
    <w:p w14:paraId="64303F69" w14:textId="77777777" w:rsidR="00FE697D" w:rsidRDefault="00FE697D"/>
    <w:sectPr w:rsidR="00FE697D" w:rsidSect="00E876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687F5" w14:textId="77777777" w:rsidR="008D2FDD" w:rsidRDefault="008D2FDD" w:rsidP="00733C4F">
      <w:pPr>
        <w:spacing w:after="0" w:line="240" w:lineRule="auto"/>
      </w:pPr>
      <w:r>
        <w:separator/>
      </w:r>
    </w:p>
  </w:endnote>
  <w:endnote w:type="continuationSeparator" w:id="0">
    <w:p w14:paraId="5C90A55D" w14:textId="77777777" w:rsidR="008D2FDD" w:rsidRDefault="008D2FDD"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7EF0" w14:textId="44F36F1F" w:rsidR="002051F5" w:rsidRDefault="0095663A">
    <w:pPr>
      <w:pStyle w:val="Footer"/>
      <w:jc w:val="right"/>
    </w:pPr>
    <w:r>
      <w:fldChar w:fldCharType="begin"/>
    </w:r>
    <w:r>
      <w:instrText xml:space="preserve"> PAGE   \* MERGEFORMAT </w:instrText>
    </w:r>
    <w:r>
      <w:fldChar w:fldCharType="separate"/>
    </w:r>
    <w:r w:rsidR="003B49DD">
      <w:rPr>
        <w:noProof/>
      </w:rPr>
      <w:t>7</w:t>
    </w:r>
    <w:r>
      <w:rPr>
        <w:noProof/>
      </w:rPr>
      <w:fldChar w:fldCharType="end"/>
    </w:r>
  </w:p>
  <w:p w14:paraId="6BEA80FF" w14:textId="77777777" w:rsidR="002051F5" w:rsidRDefault="008D2F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B85DC" w14:textId="77777777" w:rsidR="008D2FDD" w:rsidRDefault="008D2FDD" w:rsidP="00733C4F">
      <w:pPr>
        <w:spacing w:after="0" w:line="240" w:lineRule="auto"/>
      </w:pPr>
      <w:r>
        <w:separator/>
      </w:r>
    </w:p>
  </w:footnote>
  <w:footnote w:type="continuationSeparator" w:id="0">
    <w:p w14:paraId="4BA6A1B9" w14:textId="77777777" w:rsidR="008D2FDD" w:rsidRDefault="008D2FDD" w:rsidP="00733C4F">
      <w:pPr>
        <w:spacing w:after="0" w:line="240" w:lineRule="auto"/>
      </w:pPr>
      <w:r>
        <w:continuationSeparator/>
      </w:r>
    </w:p>
  </w:footnote>
  <w:footnote w:id="1">
    <w:p w14:paraId="393C6E01" w14:textId="77777777" w:rsidR="00733C4F" w:rsidRDefault="00733C4F" w:rsidP="00733C4F">
      <w:pPr>
        <w:pStyle w:val="FootnoteText"/>
        <w:jc w:val="both"/>
        <w:rPr>
          <w:rFonts w:ascii="Times New Roman" w:hAnsi="Times New Roma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xml:space="preserve">. 20.12.12). </w:t>
      </w:r>
    </w:p>
  </w:footnote>
  <w:footnote w:id="2">
    <w:p w14:paraId="5E54E232" w14:textId="77777777" w:rsidR="00733C4F"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3">
    <w:p w14:paraId="79767D17" w14:textId="77777777" w:rsidR="00733C4F" w:rsidRPr="00CB0201"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20.12.16).</w:t>
      </w:r>
    </w:p>
  </w:footnote>
  <w:footnote w:id="4">
    <w:p w14:paraId="51A9CEE5" w14:textId="77777777" w:rsidR="00733C4F" w:rsidRPr="0073414C"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5">
    <w:p w14:paraId="7A7304A0"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6">
    <w:p w14:paraId="29855B5F"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7">
    <w:p w14:paraId="7C0F1F0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19.02.2020).</w:t>
      </w:r>
    </w:p>
  </w:footnote>
  <w:footnote w:id="8">
    <w:p w14:paraId="6B274A3A" w14:textId="77777777" w:rsidR="00733C4F" w:rsidRPr="00873EB2" w:rsidRDefault="00733C4F" w:rsidP="00733C4F">
      <w:pPr>
        <w:pStyle w:val="FootnoteText"/>
        <w:jc w:val="both"/>
        <w:rPr>
          <w:rFonts w:ascii="Times New Roman" w:hAnsi="Times New Roman"/>
        </w:rPr>
      </w:pPr>
      <w:r w:rsidRPr="00873EB2">
        <w:rPr>
          <w:rStyle w:val="FootnoteReference"/>
          <w:rFonts w:ascii="Times New Roman" w:hAnsi="Times New Roman"/>
        </w:rPr>
        <w:footnoteRef/>
      </w:r>
      <w:r w:rsidRPr="00873EB2">
        <w:rPr>
          <w:rFonts w:ascii="Times New Roman" w:hAnsi="Times New Roman"/>
        </w:rPr>
        <w:t xml:space="preserve"> </w:t>
      </w:r>
      <w:r>
        <w:rPr>
          <w:rFonts w:ascii="Times New Roman" w:hAnsi="Times New Roman"/>
        </w:rPr>
        <w:t>Add. by Cl. (a)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9">
    <w:p w14:paraId="5D5793DF" w14:textId="704CDFF1"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w:t>
      </w:r>
      <w:r w:rsidR="0095663A">
        <w:rPr>
          <w:rFonts w:ascii="Times New Roman" w:hAnsi="Times New Roman"/>
        </w:rPr>
        <w:t>6</w:t>
      </w:r>
      <w:r>
        <w:rPr>
          <w:rFonts w:ascii="Times New Roman" w:hAnsi="Times New Roman"/>
        </w:rPr>
        <w:t>.2020).</w:t>
      </w:r>
    </w:p>
  </w:footnote>
  <w:footnote w:id="10">
    <w:p w14:paraId="619E789F" w14:textId="0E034C7D"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xml:space="preserve">. </w:t>
      </w:r>
      <w:r w:rsidR="0095663A">
        <w:rPr>
          <w:rFonts w:ascii="Times New Roman" w:hAnsi="Times New Roman"/>
        </w:rPr>
        <w:t>28</w:t>
      </w:r>
      <w:r>
        <w:rPr>
          <w:rFonts w:ascii="Times New Roman" w:hAnsi="Times New Roman"/>
        </w:rPr>
        <w:t>.0</w:t>
      </w:r>
      <w:r w:rsidR="0095663A">
        <w:rPr>
          <w:rFonts w:ascii="Times New Roman" w:hAnsi="Times New Roman"/>
        </w:rPr>
        <w:t>9</w:t>
      </w:r>
      <w:r>
        <w:rPr>
          <w:rFonts w:ascii="Times New Roman" w:hAnsi="Times New Roman"/>
        </w:rPr>
        <w:t>.2020).</w:t>
      </w:r>
    </w:p>
  </w:footnote>
  <w:footnote w:id="11">
    <w:p w14:paraId="76EB8256" w14:textId="25DD3AD9" w:rsidR="00FC2351" w:rsidRPr="00FC2351" w:rsidRDefault="00FC2351">
      <w:pPr>
        <w:pStyle w:val="FootnoteText"/>
        <w:rPr>
          <w:rFonts w:ascii="Times New Roman" w:hAnsi="Times New Roman"/>
        </w:rPr>
      </w:pPr>
      <w:r w:rsidRPr="00F501F0">
        <w:rPr>
          <w:rStyle w:val="FootnoteReference"/>
        </w:rPr>
        <w:footnoteRef/>
      </w:r>
      <w:r w:rsidRPr="00F501F0">
        <w:rPr>
          <w:rStyle w:val="FootnoteReference"/>
        </w:rPr>
        <w:t xml:space="preserve"> </w:t>
      </w:r>
      <w:r w:rsidR="00C1255A">
        <w:rPr>
          <w:rFonts w:ascii="Times New Roman" w:hAnsi="Times New Roman"/>
        </w:rPr>
        <w:t>Add</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12">
    <w:p w14:paraId="2825316B" w14:textId="11B5B77B" w:rsidR="002B425F" w:rsidRDefault="002B425F">
      <w:pPr>
        <w:pStyle w:val="FootnoteText"/>
      </w:pPr>
      <w:r>
        <w:rPr>
          <w:rStyle w:val="FootnoteReference"/>
        </w:rPr>
        <w:footnoteRef/>
      </w:r>
      <w:r>
        <w:t xml:space="preserve"> </w:t>
      </w:r>
      <w:r w:rsidRPr="002B425F">
        <w:rPr>
          <w:rFonts w:ascii="Times New Roman" w:hAnsi="Times New Roman"/>
        </w:rPr>
        <w:t>Ins</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01</w:t>
      </w:r>
      <w:r w:rsidRPr="005A5FA4">
        <w:rPr>
          <w:rFonts w:ascii="Times New Roman" w:hAnsi="Times New Roman"/>
        </w:rPr>
        <w:t>.</w:t>
      </w:r>
      <w:r>
        <w:rPr>
          <w:rFonts w:ascii="Times New Roman" w:hAnsi="Times New Roman"/>
        </w:rPr>
        <w:t>10</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13">
    <w:p w14:paraId="78BCB946" w14:textId="6D5C67A6" w:rsidR="00F85A6C" w:rsidRDefault="00F85A6C">
      <w:pPr>
        <w:pStyle w:val="FootnoteText"/>
      </w:pPr>
      <w:r>
        <w:rPr>
          <w:rStyle w:val="FootnoteReference"/>
        </w:rPr>
        <w:footnoteRef/>
      </w:r>
      <w:r>
        <w:t xml:space="preserve"> </w:t>
      </w:r>
      <w:r w:rsidRPr="002B425F">
        <w:rPr>
          <w:rFonts w:ascii="Times New Roman" w:hAnsi="Times New Roman"/>
        </w:rPr>
        <w:t>Ins</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w:t>
      </w:r>
      <w:r>
        <w:rPr>
          <w:rFonts w:ascii="Times New Roman" w:hAnsi="Times New Roman"/>
        </w:rPr>
        <w:t>ment Regulations, 2023 (</w:t>
      </w:r>
      <w:proofErr w:type="spellStart"/>
      <w:r>
        <w:rPr>
          <w:rFonts w:ascii="Times New Roman" w:hAnsi="Times New Roman"/>
        </w:rPr>
        <w:t>w.e.f</w:t>
      </w:r>
      <w:proofErr w:type="spellEnd"/>
      <w:r>
        <w:rPr>
          <w:rFonts w:ascii="Times New Roman" w:hAnsi="Times New Roman"/>
        </w:rPr>
        <w:t>. 18</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14">
    <w:p w14:paraId="03D0B525" w14:textId="29945534" w:rsidR="00733C4F" w:rsidRPr="00FC2351" w:rsidRDefault="00733C4F" w:rsidP="00733C4F">
      <w:pPr>
        <w:pStyle w:val="FootnoteText"/>
        <w:jc w:val="both"/>
        <w:rPr>
          <w:rFonts w:ascii="Times New Roman" w:hAnsi="Times New Roman"/>
        </w:rPr>
      </w:pPr>
      <w:r w:rsidRPr="00FC2351">
        <w:rPr>
          <w:rFonts w:ascii="Times New Roman" w:hAnsi="Times New Roman"/>
        </w:rPr>
        <w:footnoteRef/>
      </w:r>
      <w:r>
        <w:rPr>
          <w:rFonts w:ascii="Times New Roman" w:hAnsi="Times New Roman"/>
        </w:rPr>
        <w:t>Add. by Cl. (b)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20.12.12).</w:t>
      </w:r>
    </w:p>
  </w:footnote>
  <w:footnote w:id="15">
    <w:p w14:paraId="78C20BD4" w14:textId="26D77810" w:rsidR="00733C4F" w:rsidRPr="00FC2351" w:rsidRDefault="00733C4F" w:rsidP="00733C4F">
      <w:pPr>
        <w:pStyle w:val="FootnoteText"/>
        <w:jc w:val="both"/>
        <w:rPr>
          <w:rFonts w:ascii="Times New Roman" w:hAnsi="Times New Roman"/>
        </w:rPr>
      </w:pPr>
      <w:r w:rsidRPr="00FC2351">
        <w:rPr>
          <w:rFonts w:ascii="Times New Roman" w:hAnsi="Times New Roman"/>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w:t>
      </w:r>
      <w:r w:rsidRPr="007C4053">
        <w:rPr>
          <w:rFonts w:ascii="Times New Roman" w:hAnsi="Times New Roman"/>
        </w:rPr>
        <w:t xml:space="preserve"> </w:t>
      </w:r>
      <w:r>
        <w:rPr>
          <w:rFonts w:ascii="Times New Roman" w:hAnsi="Times New Roman"/>
        </w:rPr>
        <w:t>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16">
    <w:p w14:paraId="474CB77B" w14:textId="4DEBB20C" w:rsidR="00733C4F" w:rsidRPr="00CB0201"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xml:space="preserve">. 20.12.16). </w:t>
      </w:r>
    </w:p>
  </w:footnote>
  <w:footnote w:id="17">
    <w:p w14:paraId="6527C013" w14:textId="437839F3" w:rsidR="00733C4F" w:rsidRPr="0073414C"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18">
    <w:p w14:paraId="4100834D"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19">
    <w:p w14:paraId="4BB9F81D"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20">
    <w:p w14:paraId="387053E4" w14:textId="77777777" w:rsidR="00733C4F" w:rsidRPr="00F67CA6" w:rsidRDefault="00733C4F" w:rsidP="00733C4F">
      <w:pPr>
        <w:pStyle w:val="FootnoteText"/>
        <w:jc w:val="both"/>
        <w:rPr>
          <w:rFonts w:ascii="Times New Roman" w:hAnsi="Times New Roman"/>
        </w:rPr>
      </w:pPr>
      <w:r w:rsidRPr="00F67CA6">
        <w:rPr>
          <w:rStyle w:val="FootnoteReference"/>
          <w:rFonts w:ascii="Times New Roman" w:hAnsi="Times New Roman"/>
        </w:rPr>
        <w:footnoteRef/>
      </w:r>
      <w:r w:rsidRPr="00F67CA6">
        <w:rPr>
          <w:rFonts w:ascii="Times New Roman" w:hAnsi="Times New Roman"/>
        </w:rPr>
        <w:t xml:space="preserve"> </w:t>
      </w:r>
      <w:r>
        <w:rPr>
          <w:rFonts w:ascii="Times New Roman" w:hAnsi="Times New Roman"/>
        </w:rPr>
        <w:t xml:space="preserve">Add. by Cl. (b) of reg. 3, the Petroleum and Natural Gas Regulatory Board (Determination of Petroleum and Petroleum Products Pipeline Transportation Tariff) Amendment Regulations, 2020 </w:t>
      </w:r>
      <w:proofErr w:type="spellStart"/>
      <w:r>
        <w:rPr>
          <w:rFonts w:ascii="Times New Roman" w:hAnsi="Times New Roman"/>
        </w:rPr>
        <w:t>w.e.f</w:t>
      </w:r>
      <w:proofErr w:type="spellEnd"/>
      <w:r>
        <w:rPr>
          <w:rFonts w:ascii="Times New Roman" w:hAnsi="Times New Roman"/>
        </w:rPr>
        <w:t>. 19.02.2020).</w:t>
      </w:r>
    </w:p>
  </w:footnote>
  <w:footnote w:id="21">
    <w:p w14:paraId="484F261F"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22">
    <w:p w14:paraId="1F765A5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30.06.2020).</w:t>
      </w:r>
    </w:p>
  </w:footnote>
  <w:footnote w:id="23">
    <w:p w14:paraId="2A94C4AD" w14:textId="6AE5057F" w:rsidR="0095663A" w:rsidRDefault="0095663A" w:rsidP="0095663A">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28.09.2020).</w:t>
      </w:r>
    </w:p>
  </w:footnote>
  <w:footnote w:id="24">
    <w:p w14:paraId="76E656CB" w14:textId="6753947F" w:rsidR="00F501F0" w:rsidRPr="00F501F0" w:rsidRDefault="00F501F0">
      <w:pPr>
        <w:pStyle w:val="FootnoteText"/>
        <w:rPr>
          <w:lang w:val="en-IN"/>
        </w:rPr>
      </w:pPr>
      <w:r>
        <w:rPr>
          <w:rStyle w:val="FootnoteReference"/>
        </w:rPr>
        <w:footnoteRef/>
      </w:r>
      <w:r>
        <w:t xml:space="preserve"> </w:t>
      </w:r>
      <w:r>
        <w:rPr>
          <w:rFonts w:ascii="Times New Roman" w:hAnsi="Times New Roman"/>
        </w:rPr>
        <w:t>Ins.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25">
    <w:p w14:paraId="24ABE754" w14:textId="7B0BEFE0" w:rsidR="00BA0C61" w:rsidRDefault="00BA0C61">
      <w:pPr>
        <w:pStyle w:val="FootnoteText"/>
      </w:pPr>
      <w:r>
        <w:rPr>
          <w:rStyle w:val="FootnoteReference"/>
        </w:rPr>
        <w:footnoteRef/>
      </w:r>
      <w:r>
        <w:t xml:space="preserve"> </w:t>
      </w:r>
      <w:r w:rsidRPr="002B425F">
        <w:rPr>
          <w:rFonts w:ascii="Times New Roman" w:hAnsi="Times New Roman"/>
        </w:rPr>
        <w:t>Ins</w:t>
      </w:r>
      <w:r>
        <w:rPr>
          <w:rFonts w:ascii="Times New Roman" w:hAnsi="Times New Roman"/>
        </w:rPr>
        <w:t>.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01</w:t>
      </w:r>
      <w:r w:rsidRPr="005A5FA4">
        <w:rPr>
          <w:rFonts w:ascii="Times New Roman" w:hAnsi="Times New Roman"/>
        </w:rPr>
        <w:t>.</w:t>
      </w:r>
      <w:r>
        <w:rPr>
          <w:rFonts w:ascii="Times New Roman" w:hAnsi="Times New Roman"/>
        </w:rPr>
        <w:t>10</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26">
    <w:p w14:paraId="08143D28" w14:textId="237925F6" w:rsidR="00701130" w:rsidRDefault="00701130">
      <w:pPr>
        <w:pStyle w:val="FootnoteText"/>
      </w:pPr>
      <w:r>
        <w:rPr>
          <w:rStyle w:val="FootnoteReference"/>
        </w:rPr>
        <w:footnoteRef/>
      </w:r>
      <w:r>
        <w:t xml:space="preserve"> </w:t>
      </w:r>
      <w:r w:rsidRPr="002B425F">
        <w:rPr>
          <w:rFonts w:ascii="Times New Roman" w:hAnsi="Times New Roman"/>
        </w:rPr>
        <w:t>Ins</w:t>
      </w:r>
      <w:r>
        <w:rPr>
          <w:rFonts w:ascii="Times New Roman" w:hAnsi="Times New Roman"/>
        </w:rPr>
        <w:t>.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w:t>
      </w:r>
      <w:r>
        <w:rPr>
          <w:rFonts w:ascii="Times New Roman" w:hAnsi="Times New Roman"/>
        </w:rPr>
        <w:t>ent Regulations, 2023 (</w:t>
      </w:r>
      <w:proofErr w:type="spellStart"/>
      <w:r>
        <w:rPr>
          <w:rFonts w:ascii="Times New Roman" w:hAnsi="Times New Roman"/>
        </w:rPr>
        <w:t>w.e.f</w:t>
      </w:r>
      <w:proofErr w:type="spellEnd"/>
      <w:r>
        <w:rPr>
          <w:rFonts w:ascii="Times New Roman" w:hAnsi="Times New Roman"/>
        </w:rPr>
        <w:t>. 18</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27">
    <w:p w14:paraId="1A75793B" w14:textId="77777777" w:rsidR="00733C4F" w:rsidRDefault="00733C4F" w:rsidP="00733C4F">
      <w:pPr>
        <w:pStyle w:val="FootnoteText"/>
        <w:jc w:val="both"/>
        <w:rPr>
          <w:lang w:val="en-IN"/>
        </w:rPr>
      </w:pPr>
      <w:r>
        <w:rPr>
          <w:rStyle w:val="FootnoteReference"/>
        </w:rPr>
        <w:footnoteRef/>
      </w:r>
      <w:r>
        <w:rPr>
          <w:rFonts w:ascii="Times New Roman" w:hAnsi="Times New Roman"/>
          <w:lang w:val="en-IN"/>
        </w:rPr>
        <w:t>Subs. by Reg. 2, the Petroleum and Natural Gas Regulatory Board (Determining of Petroleum and Petroleum Products Pipeline Transportation Tariff) Amendment Regulations, 2014, for reg. 6 (</w:t>
      </w:r>
      <w:proofErr w:type="spellStart"/>
      <w:r>
        <w:rPr>
          <w:rFonts w:ascii="Times New Roman" w:hAnsi="Times New Roman"/>
          <w:lang w:val="en-IN"/>
        </w:rPr>
        <w:t>w.e.f</w:t>
      </w:r>
      <w:proofErr w:type="spellEnd"/>
      <w:r>
        <w:rPr>
          <w:rFonts w:ascii="Times New Roman" w:hAnsi="Times New Roman"/>
          <w:lang w:val="en-IN"/>
        </w:rPr>
        <w:t>. 01.01.2015)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4F"/>
    <w:rsid w:val="00067DDD"/>
    <w:rsid w:val="002B425F"/>
    <w:rsid w:val="002C19D4"/>
    <w:rsid w:val="003932B7"/>
    <w:rsid w:val="003A56A8"/>
    <w:rsid w:val="003B49DD"/>
    <w:rsid w:val="004516B6"/>
    <w:rsid w:val="00521B37"/>
    <w:rsid w:val="005C086C"/>
    <w:rsid w:val="00701130"/>
    <w:rsid w:val="00733C4F"/>
    <w:rsid w:val="008D2FDD"/>
    <w:rsid w:val="00906541"/>
    <w:rsid w:val="0095663A"/>
    <w:rsid w:val="00990103"/>
    <w:rsid w:val="009F13E5"/>
    <w:rsid w:val="00A2069A"/>
    <w:rsid w:val="00AB6D32"/>
    <w:rsid w:val="00BA0C61"/>
    <w:rsid w:val="00C1255A"/>
    <w:rsid w:val="00C85F06"/>
    <w:rsid w:val="00CB0599"/>
    <w:rsid w:val="00E8764F"/>
    <w:rsid w:val="00F14CBB"/>
    <w:rsid w:val="00F501F0"/>
    <w:rsid w:val="00F7058E"/>
    <w:rsid w:val="00F85A6C"/>
    <w:rsid w:val="00FC235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2608"/>
  <w15:chartTrackingRefBased/>
  <w15:docId w15:val="{DC8FC182-8EF5-4C50-91D8-8D3D0A7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8</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Kartikey Joshi</cp:lastModifiedBy>
  <cp:revision>24</cp:revision>
  <dcterms:created xsi:type="dcterms:W3CDTF">2020-10-14T04:25:00Z</dcterms:created>
  <dcterms:modified xsi:type="dcterms:W3CDTF">2024-02-21T07:19:00Z</dcterms:modified>
</cp:coreProperties>
</file>